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7A8C" w14:textId="71166444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MAS CÍNOVECKO o. p. s., IČ 28671643,</w:t>
      </w:r>
    </w:p>
    <w:p w14:paraId="7EE331DC" w14:textId="35B16257" w:rsidR="00BD4CA9" w:rsidRPr="00BD4CA9" w:rsidRDefault="00BD4CA9" w:rsidP="00BD4CA9">
      <w:pPr>
        <w:jc w:val="center"/>
        <w:rPr>
          <w:b/>
          <w:bCs/>
        </w:rPr>
      </w:pPr>
      <w:r w:rsidRPr="00BD4CA9">
        <w:rPr>
          <w:b/>
          <w:bCs/>
        </w:rPr>
        <w:t>jako nositel Strategie komunitně vedeného místního rozvoje MAS CÍNOVECKO 2021–2027</w:t>
      </w:r>
    </w:p>
    <w:p w14:paraId="6CFCBF6D" w14:textId="77777777" w:rsidR="00BD4CA9" w:rsidRDefault="00BD4CA9" w:rsidP="00BD4CA9">
      <w:pPr>
        <w:jc w:val="center"/>
      </w:pPr>
      <w:r>
        <w:t>(dále také SCLLD)</w:t>
      </w:r>
    </w:p>
    <w:p w14:paraId="7BCF6340" w14:textId="5C1465CE" w:rsidR="00BD4CA9" w:rsidRDefault="00BD4CA9" w:rsidP="00BD4CA9">
      <w:pPr>
        <w:jc w:val="center"/>
      </w:pPr>
      <w:r>
        <w:t>VYHLAŠUJE</w:t>
      </w:r>
    </w:p>
    <w:p w14:paraId="5E1F8F93" w14:textId="1D26D5AD" w:rsidR="00BD4CA9" w:rsidRDefault="00BD4CA9" w:rsidP="00BD4CA9">
      <w:pPr>
        <w:jc w:val="center"/>
      </w:pPr>
      <w:r>
        <w:t>2. VÝZVU K PŘEDKLÁDÁNÍ PROJEKTOVÝCH ZÁMĚRŮ (dále také PZ)</w:t>
      </w:r>
    </w:p>
    <w:p w14:paraId="7BD3E805" w14:textId="46C75A93" w:rsidR="00BD4CA9" w:rsidRDefault="00BD4CA9" w:rsidP="00BD4CA9">
      <w:pPr>
        <w:jc w:val="center"/>
      </w:pPr>
      <w:r>
        <w:t>do Integrovaného operačního programu 2021–2027 s názvem</w:t>
      </w:r>
    </w:p>
    <w:p w14:paraId="3BB72AD7" w14:textId="1E004755" w:rsidR="00BD4CA9" w:rsidRPr="00BD4CA9" w:rsidRDefault="00BD4CA9" w:rsidP="00BD4CA9">
      <w:pPr>
        <w:jc w:val="center"/>
        <w:rPr>
          <w:b/>
          <w:bCs/>
          <w:caps/>
        </w:rPr>
      </w:pPr>
      <w:r w:rsidRPr="00BD4CA9">
        <w:rPr>
          <w:b/>
          <w:bCs/>
          <w:caps/>
        </w:rPr>
        <w:t>2.</w:t>
      </w:r>
      <w:r>
        <w:rPr>
          <w:b/>
          <w:bCs/>
          <w:caps/>
        </w:rPr>
        <w:t xml:space="preserve"> </w:t>
      </w:r>
      <w:r w:rsidRPr="00BD4CA9">
        <w:rPr>
          <w:b/>
          <w:bCs/>
          <w:caps/>
        </w:rPr>
        <w:t xml:space="preserve">Výzva MAS CÍNOVECKO o. p. s. – </w:t>
      </w:r>
      <w:r w:rsidR="00DE1190">
        <w:rPr>
          <w:b/>
          <w:bCs/>
          <w:caps/>
        </w:rPr>
        <w:t xml:space="preserve">IROP - </w:t>
      </w:r>
      <w:r w:rsidRPr="00BD4CA9">
        <w:rPr>
          <w:b/>
          <w:bCs/>
          <w:caps/>
        </w:rPr>
        <w:t>Doprava 1</w:t>
      </w:r>
    </w:p>
    <w:p w14:paraId="7CF34614" w14:textId="1C935319" w:rsidR="00BD4CA9" w:rsidRDefault="00BD4CA9" w:rsidP="00BD4CA9">
      <w:pPr>
        <w:jc w:val="center"/>
      </w:pPr>
      <w:r>
        <w:t>Vazba na výzvu ŘO OP</w:t>
      </w:r>
      <w:r w:rsidR="00DE1190">
        <w:t xml:space="preserve"> IROP č.60 Doprava – SC 5.1 (CLLD)</w:t>
      </w:r>
    </w:p>
    <w:p w14:paraId="55CCB790" w14:textId="77777777" w:rsidR="00F13710" w:rsidRDefault="00F13710" w:rsidP="00BD4CA9">
      <w:pPr>
        <w:jc w:val="center"/>
        <w:rPr>
          <w:b/>
          <w:bCs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2385"/>
        <w:gridCol w:w="4662"/>
      </w:tblGrid>
      <w:tr w:rsidR="00F13710" w:rsidRPr="00BD4CA9" w14:paraId="69828BFA" w14:textId="77777777" w:rsidTr="00AB3F1C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789F42" w14:textId="40A292BD" w:rsidR="00F13710" w:rsidRPr="00BD4CA9" w:rsidRDefault="00F13710" w:rsidP="00AB3F1C">
            <w:pPr>
              <w:jc w:val="center"/>
              <w:rPr>
                <w:b/>
              </w:rPr>
            </w:pPr>
            <w:r>
              <w:rPr>
                <w:b/>
              </w:rPr>
              <w:t>Provedené změny ve výzvě</w:t>
            </w:r>
          </w:p>
        </w:tc>
      </w:tr>
      <w:tr w:rsidR="00F13710" w:rsidRPr="00BD4CA9" w14:paraId="3E0AB5E5" w14:textId="495BA1FC" w:rsidTr="00F13710">
        <w:trPr>
          <w:trHeight w:val="397"/>
          <w:jc w:val="center"/>
        </w:trPr>
        <w:tc>
          <w:tcPr>
            <w:tcW w:w="1103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040F054" w14:textId="329C8A8A" w:rsidR="00F13710" w:rsidRPr="00BD4CA9" w:rsidRDefault="00F13710" w:rsidP="00AB3F1C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131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509FAE" w14:textId="404AD01C" w:rsidR="00F13710" w:rsidRPr="000A5D86" w:rsidRDefault="00F13710" w:rsidP="00AB3F1C">
            <w:r>
              <w:t>Předmět změny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B621C08" w14:textId="5B450499" w:rsidR="00F13710" w:rsidRPr="000A5D86" w:rsidRDefault="00F13710" w:rsidP="00AB3F1C">
            <w:r>
              <w:t>Popis změny a zdůvodnění</w:t>
            </w:r>
          </w:p>
        </w:tc>
      </w:tr>
      <w:tr w:rsidR="00F13710" w:rsidRPr="00BD4CA9" w14:paraId="1DE443AC" w14:textId="7B126F2E" w:rsidTr="00F13710">
        <w:trPr>
          <w:trHeight w:val="397"/>
          <w:jc w:val="center"/>
        </w:trPr>
        <w:tc>
          <w:tcPr>
            <w:tcW w:w="1103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F0EA4F" w14:textId="23DBBEBB" w:rsidR="00F13710" w:rsidRPr="00BD4CA9" w:rsidRDefault="00F13710" w:rsidP="00AB3F1C">
            <w:pPr>
              <w:rPr>
                <w:b/>
                <w:bCs/>
              </w:rPr>
            </w:pPr>
            <w:r>
              <w:rPr>
                <w:b/>
                <w:bCs/>
              </w:rPr>
              <w:t>20. 3. 2024</w:t>
            </w:r>
          </w:p>
        </w:tc>
        <w:tc>
          <w:tcPr>
            <w:tcW w:w="1319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459A38E" w14:textId="1D4BF5AC" w:rsidR="00F13710" w:rsidRPr="00BD4CA9" w:rsidRDefault="00F13710" w:rsidP="00AB3F1C">
            <w:pPr>
              <w:rPr>
                <w:bCs/>
              </w:rPr>
            </w:pPr>
            <w:r>
              <w:rPr>
                <w:bCs/>
              </w:rPr>
              <w:t>Datum ukončení projektu</w:t>
            </w:r>
          </w:p>
        </w:tc>
        <w:tc>
          <w:tcPr>
            <w:tcW w:w="2578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0C4D87D" w14:textId="77777777" w:rsidR="00F13710" w:rsidRDefault="00F13710" w:rsidP="00AB3F1C">
            <w:pPr>
              <w:rPr>
                <w:bCs/>
              </w:rPr>
            </w:pPr>
            <w:r>
              <w:rPr>
                <w:bCs/>
              </w:rPr>
              <w:t xml:space="preserve">Změněno na stav 30. 6. 2029. </w:t>
            </w:r>
          </w:p>
          <w:p w14:paraId="0D402ABB" w14:textId="2CC2ED6D" w:rsidR="00F13710" w:rsidRPr="00BD4CA9" w:rsidRDefault="00F13710" w:rsidP="00AB3F1C">
            <w:pPr>
              <w:rPr>
                <w:bCs/>
              </w:rPr>
            </w:pPr>
            <w:r>
              <w:rPr>
                <w:bCs/>
              </w:rPr>
              <w:t>Zdůvodnění: Požadavek potenciálních žadatelů.</w:t>
            </w:r>
            <w:r w:rsidR="00F11A2D">
              <w:rPr>
                <w:bCs/>
              </w:rPr>
              <w:t xml:space="preserve"> Upozornění na potenciální problémy s dosažením původního termínu.</w:t>
            </w:r>
          </w:p>
        </w:tc>
      </w:tr>
    </w:tbl>
    <w:p w14:paraId="088CBFEC" w14:textId="77777777" w:rsidR="00F13710" w:rsidRDefault="00F13710" w:rsidP="00BD4CA9">
      <w:pPr>
        <w:jc w:val="center"/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353571A7" w14:textId="77777777" w:rsidTr="00361A4E">
        <w:trPr>
          <w:trHeight w:val="39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DCB85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Identifikace výzvy</w:t>
            </w:r>
          </w:p>
        </w:tc>
      </w:tr>
      <w:tr w:rsidR="009F32E6" w:rsidRPr="00BD4CA9" w14:paraId="53D8CBB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20962A0" w14:textId="4C940AEC" w:rsidR="009F32E6" w:rsidRPr="00BD4CA9" w:rsidRDefault="009F32E6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7D196F89" w14:textId="1410B89E" w:rsidR="009F32E6" w:rsidRPr="000A5D86" w:rsidRDefault="009F32E6" w:rsidP="00BD4CA9">
            <w:r w:rsidRPr="000A5D86">
              <w:t>Integrovaný regionální operační program</w:t>
            </w:r>
          </w:p>
        </w:tc>
      </w:tr>
      <w:tr w:rsidR="00BD4CA9" w:rsidRPr="00BD4CA9" w14:paraId="453A3530" w14:textId="77777777" w:rsidTr="00105D98">
        <w:trPr>
          <w:trHeight w:val="397"/>
          <w:jc w:val="center"/>
        </w:trPr>
        <w:tc>
          <w:tcPr>
            <w:tcW w:w="171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E55E051" w14:textId="5F73E8A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Specifický cíl IROP</w:t>
            </w:r>
          </w:p>
        </w:tc>
        <w:tc>
          <w:tcPr>
            <w:tcW w:w="3284" w:type="pct"/>
            <w:tcBorders>
              <w:top w:val="single" w:sz="12" w:space="0" w:color="auto"/>
            </w:tcBorders>
            <w:shd w:val="clear" w:color="auto" w:fill="auto"/>
            <w:noWrap/>
          </w:tcPr>
          <w:p w14:paraId="1F8B7CA9" w14:textId="7EFE08C0" w:rsidR="00BD4CA9" w:rsidRPr="00BD4CA9" w:rsidRDefault="00964E29" w:rsidP="00BD4CA9">
            <w:pPr>
              <w:rPr>
                <w:bCs/>
              </w:rPr>
            </w:pPr>
            <w:r>
              <w:t>5.1</w:t>
            </w:r>
            <w:r w:rsidR="009F32E6" w:rsidRPr="000A5D86">
              <w:t xml:space="preserve"> Podpora integrovaného a inkluzivního sociálního, hospodářského a environmentálního místního rozvoje, kultury, přírodního dědictví, udržitelného cestovního ruchu a bezpečnosti v</w:t>
            </w:r>
            <w:r w:rsidR="009F32E6">
              <w:t> jiných než městských oblastech</w:t>
            </w:r>
            <w:r w:rsidR="004003BC">
              <w:t>.</w:t>
            </w:r>
          </w:p>
        </w:tc>
      </w:tr>
      <w:tr w:rsidR="00BD4CA9" w:rsidRPr="00BD4CA9" w14:paraId="77624ED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5174B73" w14:textId="59CCDAD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ŘO IROP</w:t>
            </w:r>
          </w:p>
        </w:tc>
        <w:tc>
          <w:tcPr>
            <w:tcW w:w="3284" w:type="pct"/>
            <w:shd w:val="clear" w:color="auto" w:fill="auto"/>
            <w:noWrap/>
          </w:tcPr>
          <w:p w14:paraId="49B672E3" w14:textId="4385EAE7" w:rsidR="00BD4CA9" w:rsidRPr="00BD4CA9" w:rsidRDefault="009F32E6" w:rsidP="00BD4CA9">
            <w:pPr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BD4CA9" w:rsidRPr="00BD4CA9" w14:paraId="52D1B6A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1176BEC2" w14:textId="22F5233C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Číslo výzvy MAS</w:t>
            </w:r>
          </w:p>
        </w:tc>
        <w:tc>
          <w:tcPr>
            <w:tcW w:w="3284" w:type="pct"/>
            <w:shd w:val="clear" w:color="auto" w:fill="auto"/>
            <w:noWrap/>
          </w:tcPr>
          <w:p w14:paraId="1380E4AF" w14:textId="2800B52D" w:rsidR="00BD4CA9" w:rsidRPr="00BD4CA9" w:rsidRDefault="009F32E6" w:rsidP="00BD4CA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D4CA9" w:rsidRPr="00BD4CA9" w14:paraId="425F9CAB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5258535F" w14:textId="34FE320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Opatření programového rámce</w:t>
            </w:r>
          </w:p>
        </w:tc>
        <w:tc>
          <w:tcPr>
            <w:tcW w:w="3284" w:type="pct"/>
            <w:shd w:val="clear" w:color="auto" w:fill="auto"/>
            <w:noWrap/>
          </w:tcPr>
          <w:p w14:paraId="21833A48" w14:textId="7646B707" w:rsidR="00BD4CA9" w:rsidRPr="00BD4CA9" w:rsidRDefault="0052552C" w:rsidP="00BD4CA9">
            <w:pPr>
              <w:rPr>
                <w:bCs/>
              </w:rPr>
            </w:pPr>
            <w:r>
              <w:rPr>
                <w:bCs/>
              </w:rPr>
              <w:t>IROP - Doprava</w:t>
            </w:r>
          </w:p>
        </w:tc>
      </w:tr>
      <w:tr w:rsidR="00BD4CA9" w:rsidRPr="00BD4CA9" w14:paraId="02A61D0D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90A3505" w14:textId="40A12CE0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Název opatření strategického rámce SCLLD</w:t>
            </w:r>
          </w:p>
        </w:tc>
        <w:tc>
          <w:tcPr>
            <w:tcW w:w="3284" w:type="pct"/>
            <w:shd w:val="clear" w:color="auto" w:fill="auto"/>
            <w:noWrap/>
          </w:tcPr>
          <w:p w14:paraId="47A0E60B" w14:textId="38546E00" w:rsidR="00BD4CA9" w:rsidRPr="00BD4CA9" w:rsidRDefault="00C82E10" w:rsidP="00BD4CA9">
            <w:pPr>
              <w:rPr>
                <w:bCs/>
              </w:rPr>
            </w:pPr>
            <w:r>
              <w:rPr>
                <w:bCs/>
              </w:rPr>
              <w:t>4.1</w:t>
            </w:r>
            <w:r w:rsidR="0052552C">
              <w:rPr>
                <w:bCs/>
              </w:rPr>
              <w:t>.2</w:t>
            </w:r>
            <w:r>
              <w:rPr>
                <w:bCs/>
              </w:rPr>
              <w:t xml:space="preserve"> – </w:t>
            </w:r>
            <w:r w:rsidR="0052552C">
              <w:rPr>
                <w:bCs/>
              </w:rPr>
              <w:t>rekonstrukce a výstavba chodníků</w:t>
            </w:r>
          </w:p>
        </w:tc>
      </w:tr>
      <w:tr w:rsidR="00BD4CA9" w:rsidRPr="00BD4CA9" w14:paraId="2B2060F2" w14:textId="77777777" w:rsidTr="00105D98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39B52229" w14:textId="6F29172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Druh výzvy</w:t>
            </w:r>
          </w:p>
        </w:tc>
        <w:tc>
          <w:tcPr>
            <w:tcW w:w="3284" w:type="pct"/>
            <w:shd w:val="clear" w:color="auto" w:fill="auto"/>
            <w:noWrap/>
          </w:tcPr>
          <w:p w14:paraId="74EC5FB4" w14:textId="43FD1014" w:rsidR="00BD4CA9" w:rsidRPr="009F32E6" w:rsidRDefault="009F32E6" w:rsidP="00BD4CA9">
            <w:pPr>
              <w:rPr>
                <w:bCs/>
              </w:rPr>
            </w:pPr>
            <w:r w:rsidRPr="009F32E6">
              <w:rPr>
                <w:bCs/>
              </w:rPr>
              <w:t>kolová</w:t>
            </w:r>
          </w:p>
        </w:tc>
      </w:tr>
    </w:tbl>
    <w:p w14:paraId="42DF6629" w14:textId="77777777" w:rsidR="00192FC0" w:rsidRDefault="00192FC0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0970015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2617A21" w14:textId="77777777" w:rsidR="00BD4CA9" w:rsidRPr="00BD4CA9" w:rsidRDefault="00BD4CA9" w:rsidP="00BD4CA9">
            <w:pPr>
              <w:jc w:val="center"/>
              <w:rPr>
                <w:b/>
              </w:rPr>
            </w:pPr>
            <w:r w:rsidRPr="00BD4CA9">
              <w:rPr>
                <w:b/>
              </w:rPr>
              <w:t>Termíny</w:t>
            </w:r>
          </w:p>
        </w:tc>
      </w:tr>
      <w:tr w:rsidR="00BD4CA9" w:rsidRPr="00BD4CA9" w14:paraId="10D2103F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noWrap/>
            <w:hideMark/>
          </w:tcPr>
          <w:p w14:paraId="7BEAF307" w14:textId="6CE84FA8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vyhlášení výzvy MAS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F7A45BB" w14:textId="0D5A1AF2" w:rsidR="00BD4CA9" w:rsidRPr="00BD4CA9" w:rsidRDefault="00DC324C" w:rsidP="00BD4CA9">
            <w:pPr>
              <w:rPr>
                <w:bCs/>
              </w:rPr>
            </w:pPr>
            <w:r>
              <w:rPr>
                <w:bCs/>
              </w:rPr>
              <w:t>9. 2. 2024, 0:00 hod.</w:t>
            </w:r>
          </w:p>
        </w:tc>
      </w:tr>
      <w:tr w:rsidR="00BD4CA9" w:rsidRPr="00BD4CA9" w14:paraId="410D9E85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65C5F75C" w14:textId="156188D2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zahájení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76AF6048" w14:textId="6F4735D1" w:rsidR="00BD4CA9" w:rsidRPr="00BD4CA9" w:rsidRDefault="00DC324C" w:rsidP="00BD4CA9">
            <w:pPr>
              <w:rPr>
                <w:bCs/>
              </w:rPr>
            </w:pPr>
            <w:r>
              <w:rPr>
                <w:bCs/>
              </w:rPr>
              <w:t>9. 2. 2024, 0:00 hod.</w:t>
            </w:r>
          </w:p>
        </w:tc>
      </w:tr>
      <w:tr w:rsidR="00BD4CA9" w:rsidRPr="00BD4CA9" w14:paraId="678A5940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hideMark/>
          </w:tcPr>
          <w:p w14:paraId="4287319A" w14:textId="4DE0DD5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Datum a čas ukončení příjmu projektových záměrů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5786C041" w14:textId="4A59B2E9" w:rsidR="00BD4CA9" w:rsidRPr="00BD4CA9" w:rsidRDefault="00625FCF" w:rsidP="00BD4CA9">
            <w:pPr>
              <w:rPr>
                <w:bCs/>
              </w:rPr>
            </w:pPr>
            <w:r>
              <w:rPr>
                <w:bCs/>
              </w:rPr>
              <w:t>31. 3. 2024</w:t>
            </w:r>
            <w:r w:rsidR="00EE68C4">
              <w:rPr>
                <w:bCs/>
              </w:rPr>
              <w:t>, 24:00 hod.</w:t>
            </w:r>
          </w:p>
        </w:tc>
      </w:tr>
      <w:tr w:rsidR="00BD4CA9" w:rsidRPr="00BD4CA9" w14:paraId="43F715BB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18ECBB5" w14:textId="2C7ABF5F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lastRenderedPageBreak/>
              <w:t>Datum zahájení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0886AA40" w14:textId="10B268B7" w:rsidR="00BD4CA9" w:rsidRPr="00A97D8B" w:rsidRDefault="00A97D8B" w:rsidP="00A97D8B">
            <w:pPr>
              <w:jc w:val="right"/>
              <w:rPr>
                <w:bCs/>
              </w:rPr>
            </w:pPr>
            <w:r>
              <w:rPr>
                <w:bCs/>
              </w:rPr>
              <w:t>01.01.2021</w:t>
            </w:r>
          </w:p>
          <w:p w14:paraId="1E29C855" w14:textId="16208D02" w:rsidR="00A97D8B" w:rsidRPr="00A97D8B" w:rsidRDefault="00A97D8B" w:rsidP="00A97D8B">
            <w:pPr>
              <w:rPr>
                <w:bCs/>
              </w:rPr>
            </w:pPr>
            <w:r>
              <w:rPr>
                <w:bCs/>
              </w:rPr>
              <w:t>Datem zahájení realizace projektu</w:t>
            </w:r>
            <w:r w:rsidR="00804688">
              <w:rPr>
                <w:bCs/>
              </w:rPr>
              <w:t xml:space="preserve"> (definice projektu je uvedena v kapitole 1.2 Obecných pravidel)</w:t>
            </w:r>
            <w:r>
              <w:rPr>
                <w:bCs/>
              </w:rPr>
              <w:t xml:space="preserve"> se rozumí</w:t>
            </w:r>
            <w:r w:rsidR="00804688">
              <w:rPr>
                <w:bCs/>
              </w:rPr>
              <w:t xml:space="preserve"> datum prvního právního úkonu tykajícího se aktiv projektu, na které jsou vynaloženy způsobilé výdaje. Datum zahájení realizace projektu může být stanoveno nejdříve 1. 1. 2021, a to i v případě, že právní úkon byl učiněn již před tímto datem. Výdaje vzniklé před 1. 1. 2021 nejsou způsobilé.</w:t>
            </w:r>
          </w:p>
        </w:tc>
      </w:tr>
      <w:tr w:rsidR="00BD4CA9" w:rsidRPr="00BD4CA9" w14:paraId="60C41BE4" w14:textId="77777777" w:rsidTr="00BD4CA9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  <w:hideMark/>
          </w:tcPr>
          <w:p w14:paraId="79099141" w14:textId="051AFD47" w:rsidR="00BD4CA9" w:rsidRPr="00BD4CA9" w:rsidRDefault="00BD4CA9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t>Datum ukončení realizace projektu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3F21BE1C" w14:textId="71ED9BB7" w:rsidR="00BD4CA9" w:rsidRPr="00F13710" w:rsidRDefault="00AB0141" w:rsidP="00BD4CA9">
            <w:pPr>
              <w:jc w:val="right"/>
              <w:rPr>
                <w:b/>
                <w:color w:val="FF0000"/>
              </w:rPr>
            </w:pPr>
            <w:r w:rsidRPr="00F13710">
              <w:rPr>
                <w:b/>
                <w:color w:val="FF0000"/>
              </w:rPr>
              <w:t>3</w:t>
            </w:r>
            <w:r w:rsidR="00087520" w:rsidRPr="00F13710">
              <w:rPr>
                <w:b/>
                <w:color w:val="FF0000"/>
              </w:rPr>
              <w:t>0</w:t>
            </w:r>
            <w:r w:rsidRPr="00F13710">
              <w:rPr>
                <w:b/>
                <w:color w:val="FF0000"/>
              </w:rPr>
              <w:t>.</w:t>
            </w:r>
            <w:r w:rsidR="00F13710" w:rsidRPr="00F13710">
              <w:rPr>
                <w:b/>
                <w:color w:val="FF0000"/>
              </w:rPr>
              <w:t>6</w:t>
            </w:r>
            <w:r w:rsidR="00087520" w:rsidRPr="00F13710">
              <w:rPr>
                <w:b/>
                <w:color w:val="FF0000"/>
              </w:rPr>
              <w:t>.</w:t>
            </w:r>
            <w:r w:rsidRPr="00F13710">
              <w:rPr>
                <w:b/>
                <w:color w:val="FF0000"/>
              </w:rPr>
              <w:t>202</w:t>
            </w:r>
            <w:r w:rsidR="00F13710" w:rsidRPr="00F13710">
              <w:rPr>
                <w:b/>
                <w:color w:val="FF0000"/>
              </w:rPr>
              <w:t>9</w:t>
            </w:r>
          </w:p>
          <w:p w14:paraId="1899D66F" w14:textId="7B9A08CD" w:rsidR="00BD4CA9" w:rsidRPr="004003BC" w:rsidRDefault="00BD4CA9" w:rsidP="00F13710">
            <w:pPr>
              <w:jc w:val="right"/>
              <w:rPr>
                <w:bCs/>
              </w:rPr>
            </w:pPr>
            <w:r w:rsidRPr="004003BC">
              <w:rPr>
                <w:bCs/>
              </w:rPr>
              <w:t>Realizace projektu nesmí být ukončena před podáním žádosti o</w:t>
            </w:r>
            <w:r w:rsidR="00F13710">
              <w:rPr>
                <w:bCs/>
              </w:rPr>
              <w:t xml:space="preserve"> </w:t>
            </w:r>
            <w:r w:rsidRPr="004003BC">
              <w:rPr>
                <w:bCs/>
              </w:rPr>
              <w:t>podporu v MS 2021+.</w:t>
            </w:r>
          </w:p>
        </w:tc>
      </w:tr>
    </w:tbl>
    <w:p w14:paraId="71094A71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3D5B6A7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A69868B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Podpora</w:t>
            </w:r>
          </w:p>
        </w:tc>
      </w:tr>
      <w:tr w:rsidR="00BD4CA9" w:rsidRPr="00BD4CA9" w14:paraId="7B526FC0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  <w:hideMark/>
          </w:tcPr>
          <w:p w14:paraId="77116878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  <w:bCs/>
              </w:rPr>
              <w:t>Alokace výzvy MAS (CZV)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71E1B7BB" w14:textId="784D77FC" w:rsidR="00BD4CA9" w:rsidRPr="00BD4CA9" w:rsidRDefault="004003BC" w:rsidP="00DB2D41">
            <w:pPr>
              <w:jc w:val="right"/>
              <w:rPr>
                <w:bCs/>
              </w:rPr>
            </w:pPr>
            <w:r>
              <w:rPr>
                <w:bCs/>
              </w:rPr>
              <w:t>2 554 543,14 Kč</w:t>
            </w:r>
          </w:p>
        </w:tc>
      </w:tr>
      <w:tr w:rsidR="00BD4CA9" w:rsidRPr="00BD4CA9" w14:paraId="38A6B401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4960B78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Příspěvek EFRR (dotace)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B42B1AB" w14:textId="152BEE88" w:rsidR="00BD4CA9" w:rsidRPr="00BD4CA9" w:rsidRDefault="004003BC" w:rsidP="00DB2D41">
            <w:pPr>
              <w:jc w:val="right"/>
              <w:rPr>
                <w:bCs/>
              </w:rPr>
            </w:pPr>
            <w:r>
              <w:rPr>
                <w:bCs/>
              </w:rPr>
              <w:t>2 426 815,98 Kč</w:t>
            </w:r>
          </w:p>
        </w:tc>
      </w:tr>
      <w:tr w:rsidR="00BD4CA9" w:rsidRPr="00BD4CA9" w14:paraId="7F360B1A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6E545DC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Míra podpory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359DBBAF" w14:textId="64E89EAB" w:rsidR="00BD4CA9" w:rsidRPr="00BD4CA9" w:rsidRDefault="004003BC" w:rsidP="00DB2D41">
            <w:pPr>
              <w:jc w:val="right"/>
              <w:rPr>
                <w:bCs/>
              </w:rPr>
            </w:pPr>
            <w:r>
              <w:rPr>
                <w:bCs/>
              </w:rPr>
              <w:t>95 %</w:t>
            </w:r>
          </w:p>
        </w:tc>
      </w:tr>
      <w:tr w:rsidR="00BD4CA9" w:rsidRPr="00BD4CA9" w14:paraId="061357FA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754DF2D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Minimální a maximální výše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4E9F416" w14:textId="6D300B27" w:rsidR="00BD4CA9" w:rsidRPr="0013389A" w:rsidRDefault="007E16E8" w:rsidP="00DB2D41">
            <w:r w:rsidRPr="0013389A">
              <w:t xml:space="preserve">Minimální výše CZV na </w:t>
            </w:r>
            <w:r w:rsidR="00AB0141">
              <w:tab/>
            </w:r>
            <w:r w:rsidR="00AB0141">
              <w:tab/>
            </w:r>
            <w:r w:rsidR="00AB0141">
              <w:tab/>
            </w:r>
            <w:r w:rsidR="00AB0141">
              <w:tab/>
            </w:r>
            <w:r w:rsidR="0013389A" w:rsidRPr="0013389A">
              <w:t>500 000,00 Kč</w:t>
            </w:r>
          </w:p>
          <w:p w14:paraId="78162EEE" w14:textId="3CA5BD25" w:rsidR="007E16E8" w:rsidRPr="00BD4CA9" w:rsidRDefault="0013389A" w:rsidP="00DB2D41">
            <w:pPr>
              <w:rPr>
                <w:b/>
                <w:bCs/>
              </w:rPr>
            </w:pPr>
            <w:r w:rsidRPr="0013389A">
              <w:t xml:space="preserve">Maximální výše CZV na </w:t>
            </w:r>
            <w:r w:rsidR="00AB0141" w:rsidRPr="0013389A">
              <w:t>projekt</w:t>
            </w:r>
            <w:r w:rsidR="00AB0141">
              <w:tab/>
            </w:r>
            <w:r w:rsidR="00AB0141">
              <w:tab/>
            </w:r>
            <w:r w:rsidR="00AB0141">
              <w:tab/>
            </w:r>
            <w:r w:rsidRPr="0013389A">
              <w:t>2 554 543,14 Kč</w:t>
            </w:r>
          </w:p>
        </w:tc>
      </w:tr>
      <w:tr w:rsidR="00BD4CA9" w:rsidRPr="00BD4CA9" w14:paraId="2BE3014B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2F22BA8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Forma podpory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6259D8E7" w14:textId="07397F60" w:rsidR="00BD4CA9" w:rsidRPr="00BD4CA9" w:rsidRDefault="00DB2D41" w:rsidP="00DB2D41">
            <w:pPr>
              <w:rPr>
                <w:bCs/>
              </w:rPr>
            </w:pPr>
            <w:r>
              <w:rPr>
                <w:bCs/>
              </w:rPr>
              <w:t>Dotace – ex-post financování</w:t>
            </w:r>
          </w:p>
        </w:tc>
      </w:tr>
    </w:tbl>
    <w:p w14:paraId="0587FE5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5899"/>
      </w:tblGrid>
      <w:tr w:rsidR="00BD4CA9" w:rsidRPr="00BD4CA9" w14:paraId="2A92C382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6CEE778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Zacílení podpory</w:t>
            </w:r>
          </w:p>
        </w:tc>
      </w:tr>
      <w:tr w:rsidR="00BD4CA9" w:rsidRPr="00BD4CA9" w14:paraId="5F7EA5D2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5B630EB1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</w:rPr>
              <w:t>Typy podporovaných projektů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11B66DC7" w14:textId="77777777" w:rsidR="00BD4CA9" w:rsidRDefault="00964E29" w:rsidP="00BD4CA9">
            <w:pPr>
              <w:rPr>
                <w:bCs/>
              </w:rPr>
            </w:pPr>
            <w:r>
              <w:rPr>
                <w:bCs/>
              </w:rPr>
              <w:t>Infrastruktura pro bezpečnou nemotorovou dopravu</w:t>
            </w:r>
          </w:p>
          <w:p w14:paraId="5F6A29B4" w14:textId="77777777" w:rsidR="00964E29" w:rsidRDefault="00964E2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Výstavba, modernizace a rekonstrukce komunikací pro pěší v trase nebo v křížení pozemní komunikace s vysokou intenzitou dopravy</w:t>
            </w:r>
          </w:p>
          <w:p w14:paraId="30BED630" w14:textId="77777777" w:rsidR="00964E29" w:rsidRDefault="00964E2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Zvyšování bezpečnosti nemotorové dopravy stavebními úpravami komunikací pro děti a pro cyklisty a instalací prvků zklidňujících dopravu v nehodových lokalitách</w:t>
            </w:r>
          </w:p>
          <w:p w14:paraId="2951A592" w14:textId="77777777" w:rsidR="00964E29" w:rsidRDefault="00964E29" w:rsidP="00964E29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Doprovodná část projektu: pro zvýšení bezpečnosti nemoto</w:t>
            </w:r>
            <w:r w:rsidR="00C042CA">
              <w:rPr>
                <w:bCs/>
              </w:rPr>
              <w:t>rové dopravy nezbytné přímo související stavební úpravy pozemní komunikace, rekonstrukce místních komunikací</w:t>
            </w:r>
          </w:p>
          <w:p w14:paraId="544112E4" w14:textId="243F26E3" w:rsidR="002502CD" w:rsidRPr="00C042CA" w:rsidRDefault="00C042CA" w:rsidP="002502CD">
            <w:pPr>
              <w:rPr>
                <w:bCs/>
              </w:rPr>
            </w:pPr>
            <w:r>
              <w:rPr>
                <w:bCs/>
              </w:rPr>
              <w:t>Žadatel se musí řídit Specifickými pravidly pro žadatele a příjemce výzvy č. 60 IROP</w:t>
            </w:r>
            <w:r w:rsidR="002502CD">
              <w:rPr>
                <w:bCs/>
              </w:rPr>
              <w:t xml:space="preserve"> </w:t>
            </w:r>
            <w:hyperlink r:id="rId7" w:history="1">
              <w:r w:rsidR="002502CD" w:rsidRPr="00A8498E">
                <w:rPr>
                  <w:rStyle w:val="Hypertextovodkaz"/>
                  <w:bCs/>
                </w:rPr>
                <w:t>https://irop.gov.cz/cs/vyzvy-2021-2027/vyzvy/60vyzv</w:t>
              </w:r>
              <w:r w:rsidR="002502CD" w:rsidRPr="00A8498E">
                <w:rPr>
                  <w:rStyle w:val="Hypertextovodkaz"/>
                  <w:bCs/>
                </w:rPr>
                <w:t>a</w:t>
              </w:r>
              <w:r w:rsidR="002502CD" w:rsidRPr="00A8498E">
                <w:rPr>
                  <w:rStyle w:val="Hypertextovodkaz"/>
                  <w:bCs/>
                </w:rPr>
                <w:t>irop</w:t>
              </w:r>
            </w:hyperlink>
          </w:p>
        </w:tc>
      </w:tr>
      <w:tr w:rsidR="00BD4CA9" w:rsidRPr="00BD4CA9" w14:paraId="29296B99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18AC3FD5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Území realizace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2319A05A" w14:textId="26CACADE" w:rsidR="00BD4CA9" w:rsidRPr="00BD4CA9" w:rsidRDefault="002502CD" w:rsidP="00BD4CA9">
            <w:pPr>
              <w:rPr>
                <w:bCs/>
              </w:rPr>
            </w:pPr>
            <w:r>
              <w:rPr>
                <w:bCs/>
              </w:rPr>
              <w:t>Místo realizace projektu se musí nacházet na území MAS CÍNOVECKO. Místem realizace projektu se rozumí místo/místa, kde bude probíhat fyzická realizace projektu a kde budou vznikat výstupy projektu. Výdaje na realizaci projektu za hranicí MAS jsou nezpůsobilé.</w:t>
            </w:r>
          </w:p>
        </w:tc>
      </w:tr>
      <w:tr w:rsidR="00BD4CA9" w:rsidRPr="00BD4CA9" w14:paraId="7B9CE53C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5118A53" w14:textId="7502C23D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Oprávněn</w:t>
            </w:r>
            <w:r>
              <w:rPr>
                <w:b/>
                <w:bCs/>
              </w:rPr>
              <w:t>í</w:t>
            </w:r>
            <w:r w:rsidRPr="00BD4CA9">
              <w:rPr>
                <w:b/>
                <w:bCs/>
              </w:rPr>
              <w:t xml:space="preserve"> žadatelé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68600854" w14:textId="0C40817C" w:rsidR="00BD4CA9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Kraje</w:t>
            </w:r>
          </w:p>
          <w:p w14:paraId="22AB462F" w14:textId="4616FE78" w:rsidR="002502CD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Obce</w:t>
            </w:r>
          </w:p>
          <w:p w14:paraId="4159E101" w14:textId="77777777" w:rsidR="002502CD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Dobrovolné svazky obcí</w:t>
            </w:r>
          </w:p>
          <w:p w14:paraId="05C9C3BB" w14:textId="77777777" w:rsidR="002502CD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lastRenderedPageBreak/>
              <w:t>Organizace zřizované nebo zakládané kraji</w:t>
            </w:r>
          </w:p>
          <w:p w14:paraId="4468F334" w14:textId="77777777" w:rsidR="002502CD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Organizace zřizované nebo zakládané obcemi</w:t>
            </w:r>
          </w:p>
          <w:p w14:paraId="0FC45FD3" w14:textId="0976607C" w:rsidR="002502CD" w:rsidRPr="002502CD" w:rsidRDefault="002502CD" w:rsidP="002502CD">
            <w:pPr>
              <w:pStyle w:val="Odstavecseseznamem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Organizace zřizované nebo zakládané dobrovolnými svazky obcí</w:t>
            </w:r>
          </w:p>
        </w:tc>
      </w:tr>
      <w:tr w:rsidR="00DE170E" w:rsidRPr="00BD4CA9" w14:paraId="67532EB8" w14:textId="77777777" w:rsidTr="00361A4E">
        <w:trPr>
          <w:trHeight w:val="397"/>
          <w:jc w:val="center"/>
        </w:trPr>
        <w:tc>
          <w:tcPr>
            <w:tcW w:w="1738" w:type="pct"/>
            <w:shd w:val="clear" w:color="auto" w:fill="D9D9D9" w:themeFill="background1" w:themeFillShade="D9"/>
            <w:noWrap/>
            <w:vAlign w:val="center"/>
          </w:tcPr>
          <w:p w14:paraId="3851DE22" w14:textId="5D95FEA4" w:rsidR="00DE170E" w:rsidRPr="00BD4CA9" w:rsidRDefault="00DE170E" w:rsidP="00BD4CA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Cílová skupina</w:t>
            </w:r>
          </w:p>
        </w:tc>
        <w:tc>
          <w:tcPr>
            <w:tcW w:w="3262" w:type="pct"/>
            <w:shd w:val="clear" w:color="auto" w:fill="FFFFFF" w:themeFill="background1"/>
            <w:vAlign w:val="center"/>
          </w:tcPr>
          <w:p w14:paraId="527E920B" w14:textId="77777777" w:rsidR="00DE170E" w:rsidRDefault="002502CD" w:rsidP="00BD4CA9">
            <w:pPr>
              <w:rPr>
                <w:bCs/>
              </w:rPr>
            </w:pPr>
            <w:r>
              <w:rPr>
                <w:bCs/>
              </w:rPr>
              <w:t>Obyvatelé a subjekty působící na území MAS se schválenou strategií CLLD a návštěvníci území působnosti MAS</w:t>
            </w:r>
            <w:r w:rsidR="0093750E">
              <w:rPr>
                <w:bCs/>
              </w:rPr>
              <w:t xml:space="preserve"> se schválenou strategií CLLD:</w:t>
            </w:r>
          </w:p>
          <w:p w14:paraId="217C6691" w14:textId="77777777" w:rsidR="0093750E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Obyvatelé měst a obcí</w:t>
            </w:r>
          </w:p>
          <w:p w14:paraId="3C059479" w14:textId="71C431C0" w:rsidR="0093750E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Návštěvníci</w:t>
            </w:r>
          </w:p>
          <w:p w14:paraId="53ACB697" w14:textId="77777777" w:rsidR="0093750E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Dojíždějící za prací a službami</w:t>
            </w:r>
          </w:p>
          <w:p w14:paraId="2712BDF6" w14:textId="77777777" w:rsidR="0093750E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Uživatelé veřejné dopravy</w:t>
            </w:r>
          </w:p>
          <w:p w14:paraId="152512B7" w14:textId="77777777" w:rsidR="0093750E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Podnikatelské subjekty</w:t>
            </w:r>
          </w:p>
          <w:p w14:paraId="0F733607" w14:textId="77777777" w:rsidR="0093750E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Instituce veřejné správy</w:t>
            </w:r>
          </w:p>
          <w:p w14:paraId="37C3A30E" w14:textId="1B8AD3D5" w:rsidR="0093750E" w:rsidRPr="0093750E" w:rsidRDefault="0093750E" w:rsidP="0093750E">
            <w:pPr>
              <w:pStyle w:val="Odstavecseseznamem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Nestátní neziskové organizace</w:t>
            </w:r>
          </w:p>
        </w:tc>
      </w:tr>
    </w:tbl>
    <w:p w14:paraId="5B71812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3"/>
        <w:gridCol w:w="5939"/>
      </w:tblGrid>
      <w:tr w:rsidR="00BD4CA9" w:rsidRPr="00BD4CA9" w14:paraId="41DCAFAF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506D316" w14:textId="77777777" w:rsidR="00BD4CA9" w:rsidRPr="00BD4CA9" w:rsidRDefault="00BD4CA9" w:rsidP="00DE170E">
            <w:pPr>
              <w:jc w:val="center"/>
              <w:rPr>
                <w:b/>
              </w:rPr>
            </w:pPr>
            <w:r w:rsidRPr="00BD4CA9">
              <w:rPr>
                <w:b/>
              </w:rPr>
              <w:t>Věcné zaměření</w:t>
            </w:r>
          </w:p>
        </w:tc>
      </w:tr>
      <w:tr w:rsidR="00BD4CA9" w:rsidRPr="00BD4CA9" w14:paraId="0F3A66BA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A4CAB5C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47973789" w14:textId="433DE230" w:rsidR="00BD4CA9" w:rsidRPr="00BD4CA9" w:rsidRDefault="0093750E" w:rsidP="0093750E">
            <w:r>
              <w:t>Infrastruktura pro bezpečnou nemotorovou dopravu</w:t>
            </w:r>
          </w:p>
        </w:tc>
      </w:tr>
      <w:tr w:rsidR="00BD4CA9" w:rsidRPr="00BD4CA9" w14:paraId="565CCF89" w14:textId="77777777" w:rsidTr="00361A4E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  <w:vAlign w:val="center"/>
          </w:tcPr>
          <w:p w14:paraId="4E83ACE2" w14:textId="77777777" w:rsidR="00BD4CA9" w:rsidRPr="00BD4CA9" w:rsidRDefault="00BD4CA9" w:rsidP="00BD4CA9">
            <w:pPr>
              <w:rPr>
                <w:b/>
                <w:bCs/>
              </w:rPr>
            </w:pPr>
            <w:r w:rsidRPr="00BD4CA9">
              <w:rPr>
                <w:b/>
                <w:bCs/>
              </w:rPr>
              <w:t>Nepodporované aktivity</w:t>
            </w:r>
          </w:p>
        </w:tc>
        <w:tc>
          <w:tcPr>
            <w:tcW w:w="3284" w:type="pct"/>
            <w:shd w:val="clear" w:color="auto" w:fill="auto"/>
            <w:noWrap/>
            <w:vAlign w:val="center"/>
          </w:tcPr>
          <w:p w14:paraId="682108D5" w14:textId="3C6D5940" w:rsidR="00BD4CA9" w:rsidRPr="00BD4CA9" w:rsidRDefault="0093750E" w:rsidP="00BD4CA9">
            <w:pPr>
              <w:rPr>
                <w:bCs/>
              </w:rPr>
            </w:pPr>
            <w:r>
              <w:rPr>
                <w:bCs/>
              </w:rPr>
              <w:t xml:space="preserve">Žadatel si vybere a vyplní indikátory dle Specifických pravidel pro žadatele a příjemce výzvy č. 60 IROP </w:t>
            </w:r>
            <w:hyperlink r:id="rId8" w:history="1">
              <w:r w:rsidRPr="00A8498E">
                <w:rPr>
                  <w:rStyle w:val="Hypertextovodkaz"/>
                  <w:bCs/>
                </w:rPr>
                <w:t>https://irop.gov.cz/cs/vyzvy-2021-2027/vyzvy/60vyzvairop</w:t>
              </w:r>
            </w:hyperlink>
          </w:p>
        </w:tc>
      </w:tr>
      <w:tr w:rsidR="00BD4CA9" w:rsidRPr="00BD4CA9" w14:paraId="38FFDA90" w14:textId="77777777" w:rsidTr="00361A4E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E7E6E6" w:themeFill="background2"/>
            <w:vAlign w:val="center"/>
          </w:tcPr>
          <w:p w14:paraId="419293C9" w14:textId="77777777" w:rsidR="00BD4CA9" w:rsidRPr="00BD4CA9" w:rsidRDefault="00BD4CA9" w:rsidP="00BD4CA9">
            <w:pPr>
              <w:rPr>
                <w:b/>
              </w:rPr>
            </w:pPr>
            <w:r w:rsidRPr="00BD4CA9">
              <w:rPr>
                <w:b/>
              </w:rPr>
              <w:t>Indikátory:</w:t>
            </w:r>
          </w:p>
        </w:tc>
        <w:tc>
          <w:tcPr>
            <w:tcW w:w="3284" w:type="pct"/>
            <w:shd w:val="clear" w:color="auto" w:fill="auto"/>
            <w:vAlign w:val="center"/>
          </w:tcPr>
          <w:p w14:paraId="5C677CB0" w14:textId="77777777" w:rsidR="00BD4CA9" w:rsidRDefault="00DE170E" w:rsidP="00BD4CA9">
            <w:r>
              <w:t>Indikátory výstupu</w:t>
            </w:r>
          </w:p>
          <w:p w14:paraId="2F3C57C5" w14:textId="4A73ED6C" w:rsidR="0093750E" w:rsidRPr="00BD4CA9" w:rsidRDefault="0093750E" w:rsidP="00BD4CA9">
            <w:r w:rsidRPr="009E75EB">
              <w:rPr>
                <w:b/>
                <w:bCs/>
              </w:rPr>
              <w:t>726 001</w:t>
            </w:r>
            <w:r>
              <w:t xml:space="preserve"> Délka komunikace s realizovaným bezpečnostním opatřením</w:t>
            </w:r>
          </w:p>
        </w:tc>
      </w:tr>
      <w:tr w:rsidR="00BD4CA9" w:rsidRPr="00BD4CA9" w14:paraId="1CE5DC6B" w14:textId="77777777" w:rsidTr="00361A4E">
        <w:trPr>
          <w:trHeight w:val="397"/>
          <w:jc w:val="center"/>
        </w:trPr>
        <w:tc>
          <w:tcPr>
            <w:tcW w:w="1716" w:type="pct"/>
            <w:vMerge/>
            <w:shd w:val="clear" w:color="auto" w:fill="E7E6E6" w:themeFill="background2"/>
            <w:vAlign w:val="center"/>
          </w:tcPr>
          <w:p w14:paraId="4A70906B" w14:textId="77777777" w:rsidR="00BD4CA9" w:rsidRPr="00BD4CA9" w:rsidRDefault="00BD4CA9" w:rsidP="00BD4CA9">
            <w:pPr>
              <w:rPr>
                <w:b/>
              </w:rPr>
            </w:pPr>
          </w:p>
        </w:tc>
        <w:tc>
          <w:tcPr>
            <w:tcW w:w="3284" w:type="pct"/>
            <w:shd w:val="clear" w:color="auto" w:fill="auto"/>
            <w:vAlign w:val="center"/>
          </w:tcPr>
          <w:p w14:paraId="53C2B566" w14:textId="77777777" w:rsidR="00BD4CA9" w:rsidRDefault="00DE170E" w:rsidP="00BD4CA9">
            <w:r>
              <w:t>Indikátory výsledku</w:t>
            </w:r>
          </w:p>
          <w:p w14:paraId="29D2F3F6" w14:textId="6750E23E" w:rsidR="009E75EB" w:rsidRPr="00BD4CA9" w:rsidRDefault="009E75EB" w:rsidP="00BD4CA9">
            <w:r w:rsidRPr="009E75EB">
              <w:rPr>
                <w:b/>
                <w:bCs/>
              </w:rPr>
              <w:t>726 011</w:t>
            </w:r>
            <w:r>
              <w:t xml:space="preserve"> Počet nehod na km komunikace s realizovaným bezpečnostním opatřením</w:t>
            </w:r>
          </w:p>
        </w:tc>
      </w:tr>
    </w:tbl>
    <w:p w14:paraId="1EF8551A" w14:textId="77777777" w:rsidR="00BD4CA9" w:rsidRDefault="00BD4CA9" w:rsidP="00BD4CA9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03"/>
        <w:gridCol w:w="5939"/>
      </w:tblGrid>
      <w:tr w:rsidR="00DE170E" w:rsidRPr="00DE170E" w14:paraId="6691EEFA" w14:textId="77777777" w:rsidTr="00361A4E">
        <w:trPr>
          <w:trHeight w:val="397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2D8145B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Náležitosti projektového záměru</w:t>
            </w:r>
          </w:p>
        </w:tc>
      </w:tr>
      <w:tr w:rsidR="00DE170E" w:rsidRPr="00DE170E" w14:paraId="442D3093" w14:textId="77777777" w:rsidTr="00802B91">
        <w:trPr>
          <w:trHeight w:val="397"/>
          <w:jc w:val="center"/>
        </w:trPr>
        <w:tc>
          <w:tcPr>
            <w:tcW w:w="1716" w:type="pct"/>
            <w:vMerge w:val="restart"/>
            <w:shd w:val="clear" w:color="auto" w:fill="D9D9D9" w:themeFill="background1" w:themeFillShade="D9"/>
            <w:vAlign w:val="center"/>
          </w:tcPr>
          <w:p w14:paraId="0789D9D8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Náležitosti projektového záměru/podnikatelského záměru</w:t>
            </w:r>
          </w:p>
        </w:tc>
        <w:tc>
          <w:tcPr>
            <w:tcW w:w="3284" w:type="pct"/>
            <w:shd w:val="clear" w:color="auto" w:fill="FFFFFF" w:themeFill="background1"/>
          </w:tcPr>
          <w:p w14:paraId="4E76F1F5" w14:textId="02F489D1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>1. Vyplněný formulář projektového záměru</w:t>
            </w:r>
          </w:p>
        </w:tc>
      </w:tr>
      <w:tr w:rsidR="00DE170E" w:rsidRPr="00DE170E" w14:paraId="5BEDE382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14AD58D0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5934DC22" w14:textId="7A57BBDD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>2. Projektový záměr vč. příloh je podán přes datovou schránku žadatele</w:t>
            </w:r>
          </w:p>
        </w:tc>
      </w:tr>
      <w:tr w:rsidR="00DE170E" w:rsidRPr="00DE170E" w14:paraId="4FF618F4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503DE64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71B88C95" w14:textId="2706210F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3. Přílohy relevantní pro věcné </w:t>
            </w:r>
            <w:r w:rsidR="00AB0141">
              <w:rPr>
                <w:sz w:val="18"/>
                <w:szCs w:val="18"/>
              </w:rPr>
              <w:t>hodnocení – stavební</w:t>
            </w:r>
            <w:r>
              <w:rPr>
                <w:sz w:val="18"/>
                <w:szCs w:val="18"/>
              </w:rPr>
              <w:t xml:space="preserve"> povolení, Podklady pro hodnocení </w:t>
            </w:r>
          </w:p>
        </w:tc>
      </w:tr>
      <w:tr w:rsidR="00DE170E" w:rsidRPr="00DE170E" w14:paraId="77123FE3" w14:textId="77777777" w:rsidTr="00802B91">
        <w:trPr>
          <w:trHeight w:val="397"/>
          <w:jc w:val="center"/>
        </w:trPr>
        <w:tc>
          <w:tcPr>
            <w:tcW w:w="1716" w:type="pct"/>
            <w:vMerge/>
            <w:shd w:val="clear" w:color="auto" w:fill="D9D9D9" w:themeFill="background1" w:themeFillShade="D9"/>
          </w:tcPr>
          <w:p w14:paraId="2F2826FA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326C1299" w14:textId="246CEC21" w:rsidR="00DE170E" w:rsidRPr="00DE170E" w:rsidRDefault="00DE170E" w:rsidP="00DE170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4. Další </w:t>
            </w:r>
            <w:r w:rsidR="00AB0141">
              <w:rPr>
                <w:sz w:val="18"/>
                <w:szCs w:val="18"/>
              </w:rPr>
              <w:t>přílohy,</w:t>
            </w:r>
            <w:r>
              <w:rPr>
                <w:sz w:val="18"/>
                <w:szCs w:val="18"/>
              </w:rPr>
              <w:t xml:space="preserve"> pokud žadatel chce sdělit další informace nad rámec povinných informací ve formuláři záměru. Tyto další přílohy je nutné odevzdat spolu s formulářem projektového záměru. </w:t>
            </w:r>
          </w:p>
        </w:tc>
      </w:tr>
      <w:tr w:rsidR="00DE170E" w:rsidRPr="00DE170E" w14:paraId="54876ED9" w14:textId="77777777" w:rsidTr="00802B91">
        <w:trPr>
          <w:trHeight w:val="397"/>
          <w:jc w:val="center"/>
        </w:trPr>
        <w:tc>
          <w:tcPr>
            <w:tcW w:w="1716" w:type="pct"/>
            <w:shd w:val="clear" w:color="auto" w:fill="D9D9D9" w:themeFill="background1" w:themeFillShade="D9"/>
          </w:tcPr>
          <w:p w14:paraId="6C99C509" w14:textId="77777777" w:rsidR="00DE170E" w:rsidRPr="00DE170E" w:rsidRDefault="00DE170E" w:rsidP="00DE170E"/>
        </w:tc>
        <w:tc>
          <w:tcPr>
            <w:tcW w:w="3284" w:type="pct"/>
            <w:shd w:val="clear" w:color="auto" w:fill="FFFFFF" w:themeFill="background1"/>
          </w:tcPr>
          <w:p w14:paraId="6228DBDC" w14:textId="2ECB84BB" w:rsidR="00DE170E" w:rsidRDefault="00DE170E" w:rsidP="00DE170E">
            <w:pPr>
              <w:rPr>
                <w:sz w:val="18"/>
                <w:szCs w:val="18"/>
              </w:rPr>
            </w:pPr>
            <w:r w:rsidRPr="00DE170E">
              <w:rPr>
                <w:sz w:val="18"/>
                <w:szCs w:val="18"/>
              </w:rPr>
              <w:t>Bližší specifikace náležitostí u požadovaných příloh žádosti o dotaci je uvedena ve Specifických pravidlech výzvy č. 60 (verze 1, platnost od 21. 2. 2023) IROP v kapitole 3.2.7</w:t>
            </w:r>
          </w:p>
        </w:tc>
      </w:tr>
    </w:tbl>
    <w:p w14:paraId="4F3A4A31" w14:textId="77777777" w:rsidR="00BD4CA9" w:rsidRDefault="00BD4CA9" w:rsidP="00BD4CA9"/>
    <w:tbl>
      <w:tblPr>
        <w:tblW w:w="91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080"/>
      </w:tblGrid>
      <w:tr w:rsidR="00DE170E" w:rsidRPr="00DE170E" w14:paraId="4774311D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51190225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Způsobilé výdaje</w:t>
            </w:r>
          </w:p>
        </w:tc>
      </w:tr>
      <w:tr w:rsidR="00DE170E" w:rsidRPr="00DE170E" w14:paraId="2D2CA84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8D000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lastRenderedPageBreak/>
              <w:t>Věcná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6F47B661" w14:textId="12C2DA81" w:rsidR="00DE170E" w:rsidRPr="00926DB0" w:rsidRDefault="00926DB0" w:rsidP="00DE170E">
            <w:pPr>
              <w:rPr>
                <w:bCs/>
              </w:rPr>
            </w:pPr>
            <w:r>
              <w:rPr>
                <w:bCs/>
              </w:rPr>
              <w:t xml:space="preserve">Žadatel se řídí do vydání právního aktu Obecnými a Specifickými pravidly pro žadatele a příjemce integrovaných projektů pro výzvu č. 60 IROP ve znění platném ke dni vyhlášení výzvy, tj. </w:t>
            </w:r>
            <w:r w:rsidR="00392F45">
              <w:rPr>
                <w:bCs/>
              </w:rPr>
              <w:t>Obecnými pravidly (verze 3, platnost od 14. 8. 2023) a Specifickými pravidly (verze č.1, platnost od 21. 2. 2023). V době realizace projektu, tj. od data vydání právního aktu se příjemce řídí vždy aktuální verzí výše uvedených pravidel).</w:t>
            </w:r>
          </w:p>
        </w:tc>
      </w:tr>
      <w:tr w:rsidR="00DE170E" w:rsidRPr="00DE170E" w14:paraId="69D40ED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5400A74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Časová způsobilost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DDBE23" w14:textId="283FC07F" w:rsidR="00DE170E" w:rsidRPr="00005163" w:rsidRDefault="00005163" w:rsidP="00005163">
            <w:pPr>
              <w:rPr>
                <w:bCs/>
              </w:rPr>
            </w:pPr>
            <w:r>
              <w:rPr>
                <w:bCs/>
              </w:rPr>
              <w:t>1.</w:t>
            </w:r>
            <w:r w:rsidR="00392F45" w:rsidRPr="00005163">
              <w:rPr>
                <w:bCs/>
              </w:rPr>
              <w:t xml:space="preserve">1.2021 – </w:t>
            </w:r>
            <w:r w:rsidR="0007378A" w:rsidRPr="00005163">
              <w:rPr>
                <w:bCs/>
              </w:rPr>
              <w:t>3</w:t>
            </w:r>
            <w:r w:rsidR="00087520" w:rsidRPr="00005163">
              <w:rPr>
                <w:bCs/>
              </w:rPr>
              <w:t>0</w:t>
            </w:r>
            <w:r w:rsidR="0007378A" w:rsidRPr="00005163">
              <w:rPr>
                <w:bCs/>
              </w:rPr>
              <w:t xml:space="preserve">. </w:t>
            </w:r>
            <w:r w:rsidR="00087520" w:rsidRPr="00005163">
              <w:rPr>
                <w:bCs/>
              </w:rPr>
              <w:t>6</w:t>
            </w:r>
            <w:r w:rsidR="0007378A" w:rsidRPr="00005163">
              <w:rPr>
                <w:bCs/>
              </w:rPr>
              <w:t>. 202</w:t>
            </w:r>
            <w:r w:rsidR="00087520" w:rsidRPr="00005163">
              <w:rPr>
                <w:bCs/>
              </w:rPr>
              <w:t>6</w:t>
            </w:r>
          </w:p>
        </w:tc>
      </w:tr>
      <w:tr w:rsidR="00DE170E" w:rsidRPr="00DE170E" w14:paraId="41A0F9CB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495A6C" w14:textId="77777777" w:rsidR="00DE170E" w:rsidRPr="00DE170E" w:rsidRDefault="00DE170E" w:rsidP="00DE170E">
            <w:pPr>
              <w:rPr>
                <w:b/>
              </w:rPr>
            </w:pPr>
            <w:r w:rsidRPr="00DE170E">
              <w:rPr>
                <w:b/>
                <w:bCs/>
              </w:rPr>
              <w:t>Informace o křížovém financování</w:t>
            </w:r>
          </w:p>
        </w:tc>
        <w:tc>
          <w:tcPr>
            <w:tcW w:w="6080" w:type="dxa"/>
            <w:shd w:val="clear" w:color="auto" w:fill="FFFFFF" w:themeFill="background1"/>
            <w:vAlign w:val="center"/>
          </w:tcPr>
          <w:p w14:paraId="241E8354" w14:textId="1C2A0DD7" w:rsidR="00DE170E" w:rsidRPr="00392F45" w:rsidRDefault="00392F45" w:rsidP="00DE170E">
            <w:pPr>
              <w:rPr>
                <w:bCs/>
              </w:rPr>
            </w:pPr>
            <w:r>
              <w:rPr>
                <w:bCs/>
              </w:rPr>
              <w:t>Křížové financování není možné.</w:t>
            </w:r>
          </w:p>
        </w:tc>
      </w:tr>
      <w:tr w:rsidR="00DE170E" w:rsidRPr="00DE170E" w14:paraId="58AA24CB" w14:textId="77777777" w:rsidTr="00361A4E">
        <w:trPr>
          <w:trHeight w:val="397"/>
          <w:jc w:val="center"/>
        </w:trPr>
        <w:tc>
          <w:tcPr>
            <w:tcW w:w="9199" w:type="dxa"/>
            <w:gridSpan w:val="2"/>
            <w:shd w:val="clear" w:color="auto" w:fill="D9D9D9" w:themeFill="background1" w:themeFillShade="D9"/>
            <w:vAlign w:val="center"/>
          </w:tcPr>
          <w:p w14:paraId="06752F74" w14:textId="77777777" w:rsidR="00DE170E" w:rsidRPr="00DE170E" w:rsidRDefault="00DE170E" w:rsidP="00DE170E">
            <w:pPr>
              <w:jc w:val="center"/>
              <w:rPr>
                <w:b/>
              </w:rPr>
            </w:pPr>
            <w:r w:rsidRPr="00DE170E">
              <w:rPr>
                <w:b/>
              </w:rPr>
              <w:t>Další detail výzvy</w:t>
            </w:r>
          </w:p>
        </w:tc>
      </w:tr>
      <w:tr w:rsidR="00DE170E" w:rsidRPr="00DE170E" w14:paraId="3B417C5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12526DAB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Provádění změn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7F45FE80" w14:textId="1A229745" w:rsidR="00DE170E" w:rsidRPr="00DE170E" w:rsidRDefault="00DE170E" w:rsidP="00DE170E">
            <w:r w:rsidRPr="00DE170E">
              <w:t xml:space="preserve">Změna výzvy je provedena v souladu s obecnými pravidly IROP a s interními postupy MAS. Změny v kolových výzvách probíhají pouze na základě změn metodiky nebo legislativy. Postup způsobu provádění změn výzvy je popsán v Interních postupech MAS v kapitole 3. 2 „Příprava výzvy MAS a její vyhlašování “ v kapitole 2.2 Obecných pravidel pro žadatele a příjemce ve znění platném ke dni vyhlášení této výzvy: </w:t>
            </w:r>
            <w:hyperlink r:id="rId9" w:history="1">
              <w:r w:rsidR="006168C9">
                <w:rPr>
                  <w:rStyle w:val="Hypertextovodkaz"/>
                </w:rPr>
                <w:t>IROP - Ministerstvo pro místní rozvoj ČR - Výzvy 2021-2027 (gov.cz)</w:t>
              </w:r>
            </w:hyperlink>
          </w:p>
        </w:tc>
      </w:tr>
      <w:tr w:rsidR="00DE170E" w:rsidRPr="00DE170E" w14:paraId="00AB81B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5A4C21F2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Příjem projektových záměrů mimo MS2021+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5BF22EC" w14:textId="4DB81408" w:rsidR="00DE170E" w:rsidRPr="00DE170E" w:rsidRDefault="00EB4FB3" w:rsidP="00DE170E">
            <w:r>
              <w:rPr>
                <w:rFonts w:cstheme="minorHAnsi"/>
              </w:rPr>
              <w:t xml:space="preserve">Příjem projektových záměrů od žadatelů na MAS probíhá mimo monitorovací systém MS2021+. Žadatel vyplní formulář projektového záměru, závazný vzor formuláře je zveřejněn na webu MAS jako příloha výzvy. Formulář projektového záměru a případně další přílohy odešle žadatel prostřednictvím </w:t>
            </w:r>
            <w:r w:rsidR="006168C9" w:rsidRPr="00877E04">
              <w:rPr>
                <w:rFonts w:cstheme="minorHAnsi"/>
              </w:rPr>
              <w:t xml:space="preserve">datové schránky na adresu datové schránky MAS CÍNOVECKO o. p. s.:  </w:t>
            </w:r>
            <w:bookmarkStart w:id="0" w:name="_Hlk157770979"/>
            <w:r w:rsidR="006168C9" w:rsidRPr="00877E04">
              <w:rPr>
                <w:rFonts w:cstheme="minorHAnsi"/>
                <w:b/>
              </w:rPr>
              <w:t>szbs87g</w:t>
            </w:r>
            <w:bookmarkEnd w:id="0"/>
            <w:r>
              <w:rPr>
                <w:rFonts w:cstheme="minorHAnsi"/>
                <w:b/>
              </w:rPr>
              <w:t xml:space="preserve"> </w:t>
            </w:r>
            <w:r w:rsidRPr="00EB4FB3">
              <w:rPr>
                <w:rFonts w:cstheme="minorHAnsi"/>
                <w:bCs/>
              </w:rPr>
              <w:t>v termínu pro odevzdání  projektového záměru včetně příloh.</w:t>
            </w:r>
          </w:p>
        </w:tc>
      </w:tr>
      <w:tr w:rsidR="00DE170E" w:rsidRPr="00DE170E" w14:paraId="08388B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D9D9D9" w:themeFill="background1" w:themeFillShade="D9"/>
            <w:noWrap/>
            <w:vAlign w:val="center"/>
          </w:tcPr>
          <w:p w14:paraId="4E9B217E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Způsob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060AF79" w14:textId="1F54297A" w:rsidR="00272691" w:rsidRPr="00DE170E" w:rsidRDefault="00EB4FB3" w:rsidP="00272691">
            <w:r>
              <w:t>Postup pro hodnocení projektových záměrů probíhá dle Interních postupů MAS pro realizaci programového rámce IROP, kapitola 4. Výsledkem výběru projektových rámců ze strany MAS je vydání Vyjádření MAS o souladu/nesouladu</w:t>
            </w:r>
            <w:r w:rsidR="00272691">
              <w:t xml:space="preserve"> s CLLD, poté následuje podání žádosti o podporu do výzvy č. 60 IROP, a to prostřednictvím MS2021+. Hodnocení žádosti o podporu je v kompetenci Centra pro regionální rozvoj (CRR). Kontrolní listy k hodnocení CRR jsou zveřejněny na </w:t>
            </w:r>
            <w:hyperlink r:id="rId10" w:history="1">
              <w:r w:rsidR="00272691" w:rsidRPr="00A8498E">
                <w:rPr>
                  <w:rStyle w:val="Hypertextovodkaz"/>
                </w:rPr>
                <w:t>https://www.crr.cz/irop/irop-2021-2027/</w:t>
              </w:r>
            </w:hyperlink>
            <w:r w:rsidR="00272691">
              <w:t xml:space="preserve"> .</w:t>
            </w:r>
          </w:p>
        </w:tc>
      </w:tr>
      <w:tr w:rsidR="00DE170E" w:rsidRPr="00DE170E" w14:paraId="73A77DF4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C5DBEB1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Kritéria pro hodnocení projektů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33698F34" w14:textId="56792FAD" w:rsidR="00DE170E" w:rsidRPr="00DE170E" w:rsidRDefault="00272691" w:rsidP="00DE170E">
            <w:r>
              <w:t>Kritéria pro věcné hodnocení záměrů jsou součástí této výzvy.</w:t>
            </w:r>
          </w:p>
        </w:tc>
      </w:tr>
      <w:tr w:rsidR="00DE170E" w:rsidRPr="00DE170E" w14:paraId="6B98445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7B97DF17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Další specifika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0C567377" w14:textId="2287BB19" w:rsidR="00DE170E" w:rsidRPr="00DE170E" w:rsidRDefault="00272691" w:rsidP="00DE170E">
            <w:r>
              <w:t>Pro jednoho žadatele (jedno IČ) o podporu je omezen počet podaných záměrů na jeden. Pokud podá jeden žadatel (jedno IČ) do této výzvy více záměrů, bude do administrativní kontroly a do hodnocení zařazen záměr, který byl podán nejdříve. Ostatní záměry stejného žadatele (stejné IČ) budou vyřazeny.</w:t>
            </w:r>
          </w:p>
        </w:tc>
      </w:tr>
      <w:tr w:rsidR="00DE170E" w:rsidRPr="00DE170E" w14:paraId="2751530F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B81B815" w14:textId="3CA6AFDC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 xml:space="preserve">Odkaz na Obecná pravidla ŘO </w:t>
            </w:r>
            <w:r>
              <w:rPr>
                <w:b/>
                <w:bCs/>
              </w:rPr>
              <w:t>IROP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4A7FE3C1" w14:textId="6ACCA2F5" w:rsidR="00DE170E" w:rsidRPr="00DE170E" w:rsidRDefault="00272691" w:rsidP="00DE170E">
            <w:r w:rsidRPr="00272691">
              <w:t>https://irop.gov.cz/cs/vyzvy-2021-2027/vyzvy/60vyzvairop</w:t>
            </w:r>
          </w:p>
        </w:tc>
      </w:tr>
      <w:tr w:rsidR="00DE170E" w:rsidRPr="00DE170E" w14:paraId="35C60DF1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5056BD5" w14:textId="7777777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Kontakty pro poskytování informací ze strany MAS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638DA69D" w14:textId="56739CFB" w:rsidR="00DE170E" w:rsidRDefault="00272691" w:rsidP="00DE170E">
            <w:r>
              <w:t>Mgr. Libor Kudrna, tel.: 606 122</w:t>
            </w:r>
            <w:r w:rsidR="003F611E">
              <w:t> </w:t>
            </w:r>
            <w:r>
              <w:t>068</w:t>
            </w:r>
            <w:r w:rsidR="003F611E">
              <w:t xml:space="preserve">, email: </w:t>
            </w:r>
            <w:hyperlink r:id="rId11" w:history="1">
              <w:r w:rsidR="003F611E" w:rsidRPr="00A8498E">
                <w:rPr>
                  <w:rStyle w:val="Hypertextovodkaz"/>
                </w:rPr>
                <w:t>kudrna@mascinovecko.cz</w:t>
              </w:r>
            </w:hyperlink>
          </w:p>
          <w:p w14:paraId="623C1387" w14:textId="1DD3AD23" w:rsidR="003F611E" w:rsidRPr="00DE170E" w:rsidRDefault="003F611E" w:rsidP="00DE170E">
            <w:r>
              <w:t>Ing. Ladislava Hamrová, tel.: 721 291 555, email: hamrova@mascinovecko.cz</w:t>
            </w:r>
          </w:p>
        </w:tc>
      </w:tr>
      <w:tr w:rsidR="00DE170E" w:rsidRPr="00DE170E" w14:paraId="09F9A023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0A119F9C" w14:textId="69AF43F7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lastRenderedPageBreak/>
              <w:t xml:space="preserve">Poskytování konzultací ze strany </w:t>
            </w:r>
            <w:r>
              <w:rPr>
                <w:b/>
                <w:bCs/>
              </w:rPr>
              <w:t xml:space="preserve"> CRR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DF137E1" w14:textId="1A02E96D" w:rsidR="003F611E" w:rsidRPr="00DE170E" w:rsidRDefault="003F611E" w:rsidP="003F611E">
            <w:r>
              <w:t xml:space="preserve">Pro řešení konkrétních dotazů k projektům plánovaným k předložení do výzvy je žadatelům zpřístupněn konzultační servis dostupný na adrese </w:t>
            </w:r>
            <w:hyperlink r:id="rId12" w:history="1">
              <w:r w:rsidRPr="00A8498E">
                <w:rPr>
                  <w:rStyle w:val="Hypertextovodkaz"/>
                </w:rPr>
                <w:t>https://www.crr.cz/irop/konzultacni-servis-irop/</w:t>
              </w:r>
            </w:hyperlink>
            <w:r>
              <w:t xml:space="preserve"> .</w:t>
            </w:r>
          </w:p>
        </w:tc>
      </w:tr>
      <w:tr w:rsidR="00DE170E" w:rsidRPr="00DE170E" w14:paraId="1CE74628" w14:textId="77777777" w:rsidTr="00361A4E">
        <w:trPr>
          <w:trHeight w:val="397"/>
          <w:jc w:val="center"/>
        </w:trPr>
        <w:tc>
          <w:tcPr>
            <w:tcW w:w="3119" w:type="dxa"/>
            <w:shd w:val="clear" w:color="auto" w:fill="E7E6E6" w:themeFill="background2"/>
            <w:noWrap/>
            <w:vAlign w:val="center"/>
          </w:tcPr>
          <w:p w14:paraId="403FE218" w14:textId="2FE19D8B" w:rsidR="00DE170E" w:rsidRPr="00DE170E" w:rsidRDefault="00DE170E" w:rsidP="00DE170E">
            <w:pPr>
              <w:rPr>
                <w:b/>
                <w:bCs/>
              </w:rPr>
            </w:pPr>
            <w:r w:rsidRPr="00DE170E">
              <w:rPr>
                <w:b/>
                <w:bCs/>
              </w:rPr>
              <w:t>Seznam příloh výzvy</w:t>
            </w:r>
          </w:p>
        </w:tc>
        <w:tc>
          <w:tcPr>
            <w:tcW w:w="6080" w:type="dxa"/>
            <w:shd w:val="clear" w:color="auto" w:fill="auto"/>
            <w:noWrap/>
            <w:vAlign w:val="center"/>
          </w:tcPr>
          <w:p w14:paraId="5B33A008" w14:textId="31623B06" w:rsidR="00DE170E" w:rsidRDefault="003F611E" w:rsidP="008C029D">
            <w:pPr>
              <w:spacing w:after="0"/>
            </w:pPr>
            <w:r>
              <w:t>Příloha č. 1: Projektový záměr</w:t>
            </w:r>
          </w:p>
          <w:p w14:paraId="7D46D9E6" w14:textId="32B3FBD7" w:rsidR="003F611E" w:rsidRDefault="003F611E" w:rsidP="008C029D">
            <w:pPr>
              <w:spacing w:after="0"/>
            </w:pPr>
            <w:r>
              <w:t>Příloha č. 2: Kritéria administrativní kontroly</w:t>
            </w:r>
          </w:p>
          <w:p w14:paraId="1D1A7398" w14:textId="57B69FF4" w:rsidR="003F611E" w:rsidRDefault="003F611E" w:rsidP="008C029D">
            <w:pPr>
              <w:spacing w:after="0"/>
            </w:pPr>
            <w:r>
              <w:t>Příloha č. 3: Kritéria věcného hodnocení</w:t>
            </w:r>
          </w:p>
          <w:p w14:paraId="277A37FE" w14:textId="5181E6E5" w:rsidR="003F611E" w:rsidRDefault="003F611E" w:rsidP="008C029D">
            <w:pPr>
              <w:spacing w:after="0"/>
            </w:pPr>
            <w:r>
              <w:t>Příloha č. 4: Interní pravidla IROP MAS</w:t>
            </w:r>
          </w:p>
          <w:p w14:paraId="7C528E95" w14:textId="5F113045" w:rsidR="003F611E" w:rsidRDefault="003F611E" w:rsidP="008C029D">
            <w:pPr>
              <w:spacing w:after="0"/>
            </w:pPr>
            <w:r>
              <w:t>Příloha č. 5: Žádost o přezkum hodnocené</w:t>
            </w:r>
          </w:p>
          <w:p w14:paraId="435CCC9D" w14:textId="092D9C1F" w:rsidR="003F611E" w:rsidRDefault="003F611E" w:rsidP="008C029D">
            <w:pPr>
              <w:spacing w:after="0"/>
            </w:pPr>
            <w:r>
              <w:t xml:space="preserve">Příloha č. 6: Vzdání se práva </w:t>
            </w:r>
            <w:r w:rsidR="00EF3446">
              <w:t>podat žádost o přezkum</w:t>
            </w:r>
          </w:p>
          <w:p w14:paraId="6DD198FE" w14:textId="53A67440" w:rsidR="003F611E" w:rsidRPr="00DE170E" w:rsidRDefault="00EF3446" w:rsidP="008C029D">
            <w:pPr>
              <w:spacing w:after="0"/>
            </w:pPr>
            <w:r>
              <w:t xml:space="preserve">Příloha č. </w:t>
            </w:r>
            <w:r w:rsidR="008C029D">
              <w:t xml:space="preserve">7: </w:t>
            </w:r>
            <w:r>
              <w:t>Vyjádření MAS CÍNOVECKO o souladu/nesouladu PZ se SCLLD</w:t>
            </w:r>
          </w:p>
        </w:tc>
      </w:tr>
    </w:tbl>
    <w:p w14:paraId="5DAC09EE" w14:textId="77777777" w:rsidR="00BD4CA9" w:rsidRDefault="00BD4CA9" w:rsidP="00D969E1"/>
    <w:sectPr w:rsidR="00BD4CA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0A8E" w14:textId="77777777" w:rsidR="00BB12D7" w:rsidRDefault="00BB12D7" w:rsidP="00BB12D7">
      <w:pPr>
        <w:spacing w:after="0" w:line="240" w:lineRule="auto"/>
      </w:pPr>
      <w:r>
        <w:separator/>
      </w:r>
    </w:p>
  </w:endnote>
  <w:endnote w:type="continuationSeparator" w:id="0">
    <w:p w14:paraId="48199E22" w14:textId="77777777" w:rsidR="00BB12D7" w:rsidRDefault="00BB12D7" w:rsidP="00BB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C40A" w14:textId="77777777" w:rsidR="00BB12D7" w:rsidRDefault="00BB12D7" w:rsidP="00BB12D7">
      <w:pPr>
        <w:spacing w:after="0" w:line="240" w:lineRule="auto"/>
      </w:pPr>
      <w:r>
        <w:separator/>
      </w:r>
    </w:p>
  </w:footnote>
  <w:footnote w:type="continuationSeparator" w:id="0">
    <w:p w14:paraId="5DF72420" w14:textId="77777777" w:rsidR="00BB12D7" w:rsidRDefault="00BB12D7" w:rsidP="00BB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EDB9" w14:textId="2723E73D" w:rsidR="00C82E10" w:rsidRDefault="00C82E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621B88" wp14:editId="0B496EE3">
          <wp:simplePos x="0" y="0"/>
          <wp:positionH relativeFrom="margin">
            <wp:posOffset>5208270</wp:posOffset>
          </wp:positionH>
          <wp:positionV relativeFrom="paragraph">
            <wp:posOffset>-205105</wp:posOffset>
          </wp:positionV>
          <wp:extent cx="487680" cy="487680"/>
          <wp:effectExtent l="0" t="0" r="7620" b="7620"/>
          <wp:wrapSquare wrapText="bothSides"/>
          <wp:docPr id="20115325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53252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B1BEFD7" wp14:editId="46CADF53">
          <wp:simplePos x="0" y="0"/>
          <wp:positionH relativeFrom="column">
            <wp:posOffset>-171450</wp:posOffset>
          </wp:positionH>
          <wp:positionV relativeFrom="paragraph">
            <wp:posOffset>-181610</wp:posOffset>
          </wp:positionV>
          <wp:extent cx="3726180" cy="507257"/>
          <wp:effectExtent l="0" t="0" r="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507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4EC22F" w14:textId="38C7DCC7" w:rsidR="00BB12D7" w:rsidRDefault="00BB12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0DDB"/>
    <w:multiLevelType w:val="hybridMultilevel"/>
    <w:tmpl w:val="BA889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259F"/>
    <w:multiLevelType w:val="hybridMultilevel"/>
    <w:tmpl w:val="E9E6E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0E7"/>
    <w:multiLevelType w:val="hybridMultilevel"/>
    <w:tmpl w:val="39BC4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6CED"/>
    <w:multiLevelType w:val="hybridMultilevel"/>
    <w:tmpl w:val="0F92A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E22C4"/>
    <w:multiLevelType w:val="hybridMultilevel"/>
    <w:tmpl w:val="EA846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A0A6F"/>
    <w:multiLevelType w:val="hybridMultilevel"/>
    <w:tmpl w:val="46EA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04D4F"/>
    <w:multiLevelType w:val="hybridMultilevel"/>
    <w:tmpl w:val="1F2A0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952FA"/>
    <w:multiLevelType w:val="hybridMultilevel"/>
    <w:tmpl w:val="46046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16648">
    <w:abstractNumId w:val="1"/>
  </w:num>
  <w:num w:numId="2" w16cid:durableId="2110929585">
    <w:abstractNumId w:val="5"/>
  </w:num>
  <w:num w:numId="3" w16cid:durableId="1578977905">
    <w:abstractNumId w:val="0"/>
  </w:num>
  <w:num w:numId="4" w16cid:durableId="44990018">
    <w:abstractNumId w:val="6"/>
  </w:num>
  <w:num w:numId="5" w16cid:durableId="1530028215">
    <w:abstractNumId w:val="3"/>
  </w:num>
  <w:num w:numId="6" w16cid:durableId="1190414512">
    <w:abstractNumId w:val="4"/>
  </w:num>
  <w:num w:numId="7" w16cid:durableId="2017340636">
    <w:abstractNumId w:val="2"/>
  </w:num>
  <w:num w:numId="8" w16cid:durableId="424958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A9"/>
    <w:rsid w:val="00005163"/>
    <w:rsid w:val="0007378A"/>
    <w:rsid w:val="00087520"/>
    <w:rsid w:val="0013389A"/>
    <w:rsid w:val="00192FC0"/>
    <w:rsid w:val="002502CD"/>
    <w:rsid w:val="00272691"/>
    <w:rsid w:val="00392F45"/>
    <w:rsid w:val="003F611E"/>
    <w:rsid w:val="004003BC"/>
    <w:rsid w:val="0052552C"/>
    <w:rsid w:val="006168C9"/>
    <w:rsid w:val="00625FCF"/>
    <w:rsid w:val="007E16E8"/>
    <w:rsid w:val="00804688"/>
    <w:rsid w:val="008C029D"/>
    <w:rsid w:val="00926DB0"/>
    <w:rsid w:val="0093750E"/>
    <w:rsid w:val="00964E29"/>
    <w:rsid w:val="009E75EB"/>
    <w:rsid w:val="009F32E6"/>
    <w:rsid w:val="00A97D8B"/>
    <w:rsid w:val="00AB0141"/>
    <w:rsid w:val="00BB12D7"/>
    <w:rsid w:val="00BD4CA9"/>
    <w:rsid w:val="00C042CA"/>
    <w:rsid w:val="00C82E10"/>
    <w:rsid w:val="00D969E1"/>
    <w:rsid w:val="00DB2D41"/>
    <w:rsid w:val="00DC324C"/>
    <w:rsid w:val="00DE1190"/>
    <w:rsid w:val="00DE170E"/>
    <w:rsid w:val="00EB4FB3"/>
    <w:rsid w:val="00EE68C4"/>
    <w:rsid w:val="00EF3446"/>
    <w:rsid w:val="00F11A2D"/>
    <w:rsid w:val="00F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3C7"/>
  <w15:chartTrackingRefBased/>
  <w15:docId w15:val="{542B60B7-C849-488E-88B3-FA307D2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CA9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4C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4CA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2D7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B1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2D7"/>
    <w:rPr>
      <w:sz w:val="20"/>
    </w:rPr>
  </w:style>
  <w:style w:type="paragraph" w:styleId="Odstavecseseznamem">
    <w:name w:val="List Paragraph"/>
    <w:basedOn w:val="Normln"/>
    <w:uiPriority w:val="34"/>
    <w:qFormat/>
    <w:rsid w:val="00A97D8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92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60vyzvairo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rop.gov.cz/cs/vyzvy-2021-2027/vyzvy/60vyzvairop" TargetMode="External"/><Relationship Id="rId12" Type="http://schemas.openxmlformats.org/officeDocument/2006/relationships/hyperlink" Target="https://www.crr.cz/irop/konzultacni-servis-ir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drna@mascinoveck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rr.cz/irop/irop-2021-20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op.gov.cz/cs/vyzvy-2021-202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Kudrna</dc:creator>
  <cp:keywords/>
  <dc:description/>
  <cp:lastModifiedBy>Libor Kudrna</cp:lastModifiedBy>
  <cp:revision>14</cp:revision>
  <cp:lastPrinted>2024-02-08T11:37:00Z</cp:lastPrinted>
  <dcterms:created xsi:type="dcterms:W3CDTF">2024-01-30T10:39:00Z</dcterms:created>
  <dcterms:modified xsi:type="dcterms:W3CDTF">2024-03-20T06:24:00Z</dcterms:modified>
</cp:coreProperties>
</file>